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AF" w:rsidRDefault="00C418AF">
      <w:pPr>
        <w:rPr>
          <w:b/>
        </w:rPr>
      </w:pPr>
      <w:bookmarkStart w:id="0" w:name="_GoBack"/>
      <w:bookmarkEnd w:id="0"/>
      <w:r>
        <w:rPr>
          <w:b/>
        </w:rPr>
        <w:t>PARTNER SEARCH</w:t>
      </w:r>
    </w:p>
    <w:p w:rsidR="00C418AF" w:rsidRDefault="00C418AF">
      <w:pPr>
        <w:rPr>
          <w:b/>
        </w:rPr>
      </w:pPr>
    </w:p>
    <w:p w:rsidR="00C418AF" w:rsidRDefault="00C418AF">
      <w:pPr>
        <w:rPr>
          <w:b/>
        </w:rPr>
      </w:pPr>
      <w:r>
        <w:rPr>
          <w:b/>
        </w:rPr>
        <w:t xml:space="preserve">ERASMUS + </w:t>
      </w:r>
    </w:p>
    <w:p w:rsidR="00C418AF" w:rsidRDefault="00C418AF">
      <w:pPr>
        <w:rPr>
          <w:b/>
        </w:rPr>
      </w:pPr>
      <w:r>
        <w:rPr>
          <w:b/>
        </w:rPr>
        <w:t>KEY ACTION 2 – strategic partnership in more than one sector</w:t>
      </w:r>
    </w:p>
    <w:p w:rsidR="00C418AF" w:rsidRDefault="00C418AF">
      <w:pPr>
        <w:rPr>
          <w:b/>
        </w:rPr>
      </w:pPr>
    </w:p>
    <w:p w:rsidR="00787A05" w:rsidRDefault="00787A05">
      <w:pPr>
        <w:rPr>
          <w:b/>
        </w:rPr>
      </w:pPr>
    </w:p>
    <w:p w:rsidR="007B1819" w:rsidRPr="00C418AF" w:rsidRDefault="007B1819">
      <w:pPr>
        <w:rPr>
          <w:b/>
        </w:rPr>
      </w:pPr>
      <w:r w:rsidRPr="00C418AF">
        <w:rPr>
          <w:b/>
        </w:rPr>
        <w:t xml:space="preserve">PROJECT OUTLINE </w:t>
      </w:r>
      <w:r w:rsidR="00C418AF" w:rsidRPr="00C418AF">
        <w:rPr>
          <w:b/>
        </w:rPr>
        <w:t xml:space="preserve">– </w:t>
      </w:r>
      <w:r w:rsidR="00C418AF">
        <w:rPr>
          <w:b/>
        </w:rPr>
        <w:t>D</w:t>
      </w:r>
      <w:r w:rsidR="00C418AF" w:rsidRPr="00C418AF">
        <w:rPr>
          <w:b/>
        </w:rPr>
        <w:t>evelop</w:t>
      </w:r>
      <w:r w:rsidR="00C418AF">
        <w:rPr>
          <w:b/>
        </w:rPr>
        <w:t>ing</w:t>
      </w:r>
      <w:r w:rsidR="00C418AF" w:rsidRPr="00C418AF">
        <w:rPr>
          <w:b/>
        </w:rPr>
        <w:t xml:space="preserve"> character building in education</w:t>
      </w:r>
    </w:p>
    <w:p w:rsidR="007B1819" w:rsidRPr="00C418AF" w:rsidRDefault="007B1819"/>
    <w:tbl>
      <w:tblPr>
        <w:tblStyle w:val="Tabellrutnt"/>
        <w:tblW w:w="0" w:type="auto"/>
        <w:tblLook w:val="04A0" w:firstRow="1" w:lastRow="0" w:firstColumn="1" w:lastColumn="0" w:noHBand="0" w:noVBand="1"/>
      </w:tblPr>
      <w:tblGrid>
        <w:gridCol w:w="3794"/>
        <w:gridCol w:w="5062"/>
      </w:tblGrid>
      <w:tr w:rsidR="007B1819" w:rsidTr="00C418AF">
        <w:tc>
          <w:tcPr>
            <w:tcW w:w="3794" w:type="dxa"/>
          </w:tcPr>
          <w:p w:rsidR="007B1819" w:rsidRPr="003A2904" w:rsidRDefault="007B1819">
            <w:pPr>
              <w:rPr>
                <w:b/>
                <w:lang w:val="es-ES_tradnl"/>
              </w:rPr>
            </w:pPr>
            <w:r w:rsidRPr="003A2904">
              <w:rPr>
                <w:b/>
                <w:lang w:val="es-ES_tradnl"/>
              </w:rPr>
              <w:t>Funding programme</w:t>
            </w:r>
          </w:p>
        </w:tc>
        <w:tc>
          <w:tcPr>
            <w:tcW w:w="5062" w:type="dxa"/>
          </w:tcPr>
          <w:p w:rsidR="007B1819" w:rsidRDefault="007B1819">
            <w:pPr>
              <w:rPr>
                <w:lang w:val="es-ES_tradnl"/>
              </w:rPr>
            </w:pPr>
            <w:r>
              <w:rPr>
                <w:lang w:val="es-ES_tradnl"/>
              </w:rPr>
              <w:t>Erasmus +</w:t>
            </w:r>
          </w:p>
        </w:tc>
      </w:tr>
      <w:tr w:rsidR="007B1819" w:rsidRPr="007B1819" w:rsidTr="00C418AF">
        <w:tc>
          <w:tcPr>
            <w:tcW w:w="3794" w:type="dxa"/>
          </w:tcPr>
          <w:p w:rsidR="007B1819" w:rsidRPr="003A2904" w:rsidRDefault="007B1819">
            <w:pPr>
              <w:rPr>
                <w:b/>
                <w:lang w:val="es-ES_tradnl"/>
              </w:rPr>
            </w:pPr>
            <w:r w:rsidRPr="003A2904">
              <w:rPr>
                <w:b/>
                <w:lang w:val="es-ES_tradnl"/>
              </w:rPr>
              <w:t>Strand</w:t>
            </w:r>
          </w:p>
        </w:tc>
        <w:tc>
          <w:tcPr>
            <w:tcW w:w="5062" w:type="dxa"/>
          </w:tcPr>
          <w:p w:rsidR="007B1819" w:rsidRPr="007B1819" w:rsidRDefault="007B1819">
            <w:r w:rsidRPr="007B1819">
              <w:t>Key action 2 – strategic partnership in more than one sector</w:t>
            </w:r>
          </w:p>
        </w:tc>
      </w:tr>
      <w:tr w:rsidR="007B1819" w:rsidRPr="007B1819" w:rsidTr="00C418AF">
        <w:tc>
          <w:tcPr>
            <w:tcW w:w="3794" w:type="dxa"/>
          </w:tcPr>
          <w:p w:rsidR="007B1819" w:rsidRPr="003A2904" w:rsidRDefault="007B1819">
            <w:pPr>
              <w:rPr>
                <w:b/>
              </w:rPr>
            </w:pPr>
            <w:r w:rsidRPr="003A2904">
              <w:rPr>
                <w:b/>
              </w:rPr>
              <w:t>Deadline for application</w:t>
            </w:r>
          </w:p>
        </w:tc>
        <w:tc>
          <w:tcPr>
            <w:tcW w:w="5062" w:type="dxa"/>
          </w:tcPr>
          <w:p w:rsidR="007B1819" w:rsidRPr="007B1819" w:rsidRDefault="007B1819">
            <w:r>
              <w:t>31 March 2015</w:t>
            </w:r>
          </w:p>
        </w:tc>
      </w:tr>
      <w:tr w:rsidR="007B1819" w:rsidRPr="007B1819" w:rsidTr="00C418AF">
        <w:tc>
          <w:tcPr>
            <w:tcW w:w="3794" w:type="dxa"/>
          </w:tcPr>
          <w:p w:rsidR="007B1819" w:rsidRPr="003A2904" w:rsidRDefault="007B1819">
            <w:pPr>
              <w:rPr>
                <w:b/>
              </w:rPr>
            </w:pPr>
            <w:r w:rsidRPr="003A2904">
              <w:rPr>
                <w:b/>
              </w:rPr>
              <w:t>Duration</w:t>
            </w:r>
          </w:p>
        </w:tc>
        <w:tc>
          <w:tcPr>
            <w:tcW w:w="5062" w:type="dxa"/>
          </w:tcPr>
          <w:p w:rsidR="007B1819" w:rsidRDefault="007B1819">
            <w:r>
              <w:t>24 months or 36 months</w:t>
            </w:r>
          </w:p>
        </w:tc>
      </w:tr>
      <w:tr w:rsidR="007B1819" w:rsidRPr="007B1819" w:rsidTr="00C418AF">
        <w:tc>
          <w:tcPr>
            <w:tcW w:w="3794" w:type="dxa"/>
          </w:tcPr>
          <w:p w:rsidR="007B1819" w:rsidRPr="003A2904" w:rsidRDefault="007B1819">
            <w:pPr>
              <w:rPr>
                <w:b/>
              </w:rPr>
            </w:pPr>
            <w:r w:rsidRPr="003A2904">
              <w:rPr>
                <w:b/>
              </w:rPr>
              <w:t>Budget</w:t>
            </w:r>
          </w:p>
        </w:tc>
        <w:tc>
          <w:tcPr>
            <w:tcW w:w="5062" w:type="dxa"/>
          </w:tcPr>
          <w:p w:rsidR="007B1819" w:rsidRDefault="007B1819">
            <w:r>
              <w:t>€300,000 to €450,000</w:t>
            </w:r>
          </w:p>
        </w:tc>
      </w:tr>
      <w:tr w:rsidR="007B1819" w:rsidRPr="007B1819" w:rsidTr="00C418AF">
        <w:tc>
          <w:tcPr>
            <w:tcW w:w="3794" w:type="dxa"/>
          </w:tcPr>
          <w:p w:rsidR="007B1819" w:rsidRPr="003A2904" w:rsidRDefault="007B1819">
            <w:pPr>
              <w:rPr>
                <w:b/>
              </w:rPr>
            </w:pPr>
            <w:r w:rsidRPr="003A2904">
              <w:rPr>
                <w:b/>
              </w:rPr>
              <w:t>Co-ordinating partner</w:t>
            </w:r>
          </w:p>
        </w:tc>
        <w:tc>
          <w:tcPr>
            <w:tcW w:w="5062" w:type="dxa"/>
          </w:tcPr>
          <w:p w:rsidR="007B1819" w:rsidRDefault="007B1819" w:rsidP="007B1819">
            <w:r>
              <w:t>Basingstoke Consortium, UK – an educational charity specialised in developing links between education and business and preparing young people for the world of work</w:t>
            </w:r>
          </w:p>
        </w:tc>
      </w:tr>
      <w:tr w:rsidR="003A2904" w:rsidRPr="007B1819" w:rsidTr="00C418AF">
        <w:tc>
          <w:tcPr>
            <w:tcW w:w="3794" w:type="dxa"/>
          </w:tcPr>
          <w:p w:rsidR="003A2904" w:rsidRPr="003A2904" w:rsidRDefault="003A2904">
            <w:pPr>
              <w:rPr>
                <w:b/>
              </w:rPr>
            </w:pPr>
            <w:r>
              <w:rPr>
                <w:b/>
              </w:rPr>
              <w:t>Local partners</w:t>
            </w:r>
          </w:p>
        </w:tc>
        <w:tc>
          <w:tcPr>
            <w:tcW w:w="5062" w:type="dxa"/>
          </w:tcPr>
          <w:p w:rsidR="003A2904" w:rsidRDefault="003A2904" w:rsidP="003A2904">
            <w:r>
              <w:t>Basingstoke and Deane Borough Council (local authority), secondary schools (11 to 16 years), colleges (16 to 18 years), youth groups and businesses</w:t>
            </w:r>
          </w:p>
        </w:tc>
      </w:tr>
      <w:tr w:rsidR="007B1819" w:rsidRPr="007B1819" w:rsidTr="00C418AF">
        <w:tc>
          <w:tcPr>
            <w:tcW w:w="3794" w:type="dxa"/>
          </w:tcPr>
          <w:p w:rsidR="007B1819" w:rsidRPr="003A2904" w:rsidRDefault="007B1819">
            <w:pPr>
              <w:rPr>
                <w:b/>
              </w:rPr>
            </w:pPr>
            <w:r w:rsidRPr="003A2904">
              <w:rPr>
                <w:b/>
              </w:rPr>
              <w:t>European partner – confimed</w:t>
            </w:r>
          </w:p>
        </w:tc>
        <w:tc>
          <w:tcPr>
            <w:tcW w:w="5062" w:type="dxa"/>
          </w:tcPr>
          <w:p w:rsidR="007B1819" w:rsidRDefault="007B1819">
            <w:r>
              <w:t>Gävle Kommun, Sweden – local authority responsible for education and labour market issues</w:t>
            </w:r>
          </w:p>
        </w:tc>
      </w:tr>
      <w:tr w:rsidR="003A2904" w:rsidRPr="007B1819" w:rsidTr="00C418AF">
        <w:tc>
          <w:tcPr>
            <w:tcW w:w="3794" w:type="dxa"/>
          </w:tcPr>
          <w:p w:rsidR="003A2904" w:rsidRPr="003A2904" w:rsidRDefault="003A2904">
            <w:pPr>
              <w:rPr>
                <w:b/>
              </w:rPr>
            </w:pPr>
            <w:r>
              <w:rPr>
                <w:b/>
              </w:rPr>
              <w:t>Local partners</w:t>
            </w:r>
          </w:p>
        </w:tc>
        <w:tc>
          <w:tcPr>
            <w:tcW w:w="5062" w:type="dxa"/>
          </w:tcPr>
          <w:p w:rsidR="003A2904" w:rsidRDefault="003A2904">
            <w:r>
              <w:t>Schools and colleges, youth groups and businesses</w:t>
            </w:r>
          </w:p>
        </w:tc>
      </w:tr>
      <w:tr w:rsidR="00C418AF" w:rsidRPr="007B1819" w:rsidTr="00C418AF">
        <w:tc>
          <w:tcPr>
            <w:tcW w:w="3794" w:type="dxa"/>
          </w:tcPr>
          <w:p w:rsidR="00C418AF" w:rsidRDefault="00C418AF">
            <w:pPr>
              <w:rPr>
                <w:b/>
              </w:rPr>
            </w:pPr>
            <w:r>
              <w:rPr>
                <w:b/>
              </w:rPr>
              <w:t>Additional partner required</w:t>
            </w:r>
          </w:p>
        </w:tc>
        <w:tc>
          <w:tcPr>
            <w:tcW w:w="5062" w:type="dxa"/>
          </w:tcPr>
          <w:p w:rsidR="00C418AF" w:rsidRDefault="00C418AF" w:rsidP="00C418AF">
            <w:pPr>
              <w:pStyle w:val="Liststycke"/>
              <w:numPr>
                <w:ilvl w:val="0"/>
                <w:numId w:val="5"/>
              </w:numPr>
            </w:pPr>
            <w:r>
              <w:t>local authority with responsibility for education</w:t>
            </w:r>
          </w:p>
          <w:p w:rsidR="00C418AF" w:rsidRDefault="00C418AF" w:rsidP="00C418AF">
            <w:pPr>
              <w:pStyle w:val="Liststycke"/>
              <w:numPr>
                <w:ilvl w:val="0"/>
                <w:numId w:val="5"/>
              </w:numPr>
            </w:pPr>
            <w:r>
              <w:t>educational charity or association</w:t>
            </w:r>
          </w:p>
          <w:p w:rsidR="00C418AF" w:rsidRDefault="00C418AF" w:rsidP="00C418AF">
            <w:pPr>
              <w:pStyle w:val="Liststycke"/>
              <w:numPr>
                <w:ilvl w:val="0"/>
                <w:numId w:val="5"/>
              </w:numPr>
            </w:pPr>
            <w:r>
              <w:t>consortium of schools and/or colleges</w:t>
            </w:r>
          </w:p>
        </w:tc>
      </w:tr>
      <w:tr w:rsidR="007B1819" w:rsidRPr="007B1819" w:rsidTr="00C418AF">
        <w:tc>
          <w:tcPr>
            <w:tcW w:w="3794" w:type="dxa"/>
          </w:tcPr>
          <w:p w:rsidR="007B1819" w:rsidRPr="003A2904" w:rsidRDefault="003A2904">
            <w:pPr>
              <w:rPr>
                <w:b/>
              </w:rPr>
            </w:pPr>
            <w:r>
              <w:rPr>
                <w:b/>
              </w:rPr>
              <w:t>Project rationale</w:t>
            </w:r>
          </w:p>
        </w:tc>
        <w:tc>
          <w:tcPr>
            <w:tcW w:w="5062" w:type="dxa"/>
          </w:tcPr>
          <w:p w:rsidR="007B1819" w:rsidRDefault="003A2904" w:rsidP="003A2904">
            <w:r>
              <w:t>Employers continually report that young people leaving education are not work-ready and lack some of the core skills employers require for effective entry into the world of work. Schools, colleges and youth groups have a key role to play in equipping young people with the right employability skills and developing character resilience and attitude that will empower students to take ownership of their own development and future. By embedding character building into teaching and careers advice and guidance, young people will develop and acquire a set of skills and attitude that will improve educational engagement and attainment and develop a strong understanding of techniques and approaches they can use to build their resilience and confidence when entering the world of work and therefore meet the needs of employers.</w:t>
            </w:r>
          </w:p>
        </w:tc>
      </w:tr>
      <w:tr w:rsidR="007B1819" w:rsidRPr="007B1819" w:rsidTr="00C418AF">
        <w:tc>
          <w:tcPr>
            <w:tcW w:w="3794" w:type="dxa"/>
          </w:tcPr>
          <w:p w:rsidR="007B1819" w:rsidRPr="003A2904" w:rsidRDefault="007B1819" w:rsidP="007B1819">
            <w:pPr>
              <w:rPr>
                <w:b/>
              </w:rPr>
            </w:pPr>
            <w:r w:rsidRPr="003A2904">
              <w:rPr>
                <w:b/>
              </w:rPr>
              <w:lastRenderedPageBreak/>
              <w:t>Project aim</w:t>
            </w:r>
          </w:p>
        </w:tc>
        <w:tc>
          <w:tcPr>
            <w:tcW w:w="5062" w:type="dxa"/>
          </w:tcPr>
          <w:p w:rsidR="007B1819" w:rsidRDefault="003A2904" w:rsidP="002C29BE">
            <w:pPr>
              <w:pStyle w:val="Liststycke"/>
              <w:numPr>
                <w:ilvl w:val="0"/>
                <w:numId w:val="2"/>
              </w:numPr>
            </w:pPr>
            <w:r>
              <w:t xml:space="preserve">To exchange good practice </w:t>
            </w:r>
            <w:r w:rsidR="002C29BE">
              <w:t>and develop innovative approaches to character building education in partnership with education providers and employers</w:t>
            </w:r>
          </w:p>
        </w:tc>
      </w:tr>
      <w:tr w:rsidR="007B1819" w:rsidRPr="007B1819" w:rsidTr="00C418AF">
        <w:tc>
          <w:tcPr>
            <w:tcW w:w="3794" w:type="dxa"/>
          </w:tcPr>
          <w:p w:rsidR="007B1819" w:rsidRPr="003A2904" w:rsidRDefault="007B1819">
            <w:pPr>
              <w:rPr>
                <w:b/>
              </w:rPr>
            </w:pPr>
            <w:r w:rsidRPr="003A2904">
              <w:rPr>
                <w:b/>
              </w:rPr>
              <w:t>Project objectives</w:t>
            </w:r>
          </w:p>
        </w:tc>
        <w:tc>
          <w:tcPr>
            <w:tcW w:w="5062" w:type="dxa"/>
          </w:tcPr>
          <w:p w:rsidR="007B1819" w:rsidRDefault="002C29BE" w:rsidP="002C29BE">
            <w:pPr>
              <w:pStyle w:val="Liststycke"/>
              <w:numPr>
                <w:ilvl w:val="0"/>
                <w:numId w:val="1"/>
              </w:numPr>
            </w:pPr>
            <w:r>
              <w:t>To raise awareness of educators (teachers, tutors, youth leaders, careers advisors) of character building education</w:t>
            </w:r>
          </w:p>
          <w:p w:rsidR="002C29BE" w:rsidRDefault="002C29BE" w:rsidP="002C29BE">
            <w:pPr>
              <w:pStyle w:val="Liststycke"/>
              <w:numPr>
                <w:ilvl w:val="0"/>
                <w:numId w:val="1"/>
              </w:numPr>
            </w:pPr>
            <w:r>
              <w:t>To develop employability skills and awareness of the requirements of the world of work amongst young people</w:t>
            </w:r>
          </w:p>
          <w:p w:rsidR="002C29BE" w:rsidRDefault="002C29BE" w:rsidP="002C29BE">
            <w:pPr>
              <w:pStyle w:val="Liststycke"/>
              <w:numPr>
                <w:ilvl w:val="0"/>
                <w:numId w:val="1"/>
              </w:numPr>
            </w:pPr>
            <w:r>
              <w:t>To increase young people’s motivation, confidence and resilience when faced with educational challenges</w:t>
            </w:r>
          </w:p>
          <w:p w:rsidR="002C29BE" w:rsidRDefault="002C29BE" w:rsidP="002C29BE">
            <w:pPr>
              <w:pStyle w:val="Liststycke"/>
              <w:numPr>
                <w:ilvl w:val="0"/>
                <w:numId w:val="1"/>
              </w:numPr>
            </w:pPr>
            <w:r>
              <w:t>To improve educators and students’ understanding of techniques and approaches to positively build character, employability and work readiness of young people</w:t>
            </w:r>
          </w:p>
          <w:p w:rsidR="002C29BE" w:rsidRDefault="002C29BE" w:rsidP="002C29BE">
            <w:pPr>
              <w:pStyle w:val="Liststycke"/>
              <w:numPr>
                <w:ilvl w:val="0"/>
                <w:numId w:val="1"/>
              </w:numPr>
            </w:pPr>
            <w:r>
              <w:t>To engage employers in education and support young people with career choices and progression</w:t>
            </w:r>
          </w:p>
        </w:tc>
      </w:tr>
      <w:tr w:rsidR="007B1819" w:rsidRPr="007B1819" w:rsidTr="00C418AF">
        <w:tc>
          <w:tcPr>
            <w:tcW w:w="3794" w:type="dxa"/>
          </w:tcPr>
          <w:p w:rsidR="007B1819" w:rsidRPr="003A2904" w:rsidRDefault="007B1819">
            <w:pPr>
              <w:rPr>
                <w:b/>
              </w:rPr>
            </w:pPr>
            <w:r w:rsidRPr="003A2904">
              <w:rPr>
                <w:b/>
              </w:rPr>
              <w:t>Activities</w:t>
            </w:r>
          </w:p>
        </w:tc>
        <w:tc>
          <w:tcPr>
            <w:tcW w:w="5062" w:type="dxa"/>
          </w:tcPr>
          <w:p w:rsidR="007B1819" w:rsidRDefault="002C29BE" w:rsidP="00787A05">
            <w:pPr>
              <w:pStyle w:val="Liststycke"/>
              <w:numPr>
                <w:ilvl w:val="0"/>
                <w:numId w:val="6"/>
              </w:numPr>
            </w:pPr>
            <w:r>
              <w:t>Transnational events: the project will include a series of transnational events aimed at exchanging good practice, peer to peer learning and the development of shared approaches to character building education. These events will be hosted in turn by the project partners.</w:t>
            </w:r>
          </w:p>
          <w:p w:rsidR="002C29BE" w:rsidRDefault="002C29BE" w:rsidP="00787A05">
            <w:pPr>
              <w:pStyle w:val="Liststycke"/>
              <w:numPr>
                <w:ilvl w:val="0"/>
                <w:numId w:val="6"/>
              </w:numPr>
            </w:pPr>
            <w:r>
              <w:t>Local events: the local events will aim to disseminate the findings of the transnational events amongst partners at local level and the application of the newly-developed approaches to character building through training and pilot activities</w:t>
            </w:r>
          </w:p>
          <w:p w:rsidR="00C418AF" w:rsidRDefault="00C418AF" w:rsidP="00787A05">
            <w:pPr>
              <w:pStyle w:val="Liststycke"/>
              <w:numPr>
                <w:ilvl w:val="0"/>
                <w:numId w:val="6"/>
              </w:numPr>
            </w:pPr>
            <w:r>
              <w:t>In addition, regular on-line meetings and webinars will be held to ensure momentum and development between face-to-face transnational events</w:t>
            </w:r>
          </w:p>
        </w:tc>
      </w:tr>
      <w:tr w:rsidR="007B1819" w:rsidRPr="007B1819" w:rsidTr="00C418AF">
        <w:tc>
          <w:tcPr>
            <w:tcW w:w="3794" w:type="dxa"/>
          </w:tcPr>
          <w:p w:rsidR="007B1819" w:rsidRPr="003A2904" w:rsidRDefault="007B1819">
            <w:pPr>
              <w:rPr>
                <w:b/>
              </w:rPr>
            </w:pPr>
            <w:r w:rsidRPr="003A2904">
              <w:rPr>
                <w:b/>
              </w:rPr>
              <w:t>Outputs</w:t>
            </w:r>
          </w:p>
        </w:tc>
        <w:tc>
          <w:tcPr>
            <w:tcW w:w="5062" w:type="dxa"/>
          </w:tcPr>
          <w:p w:rsidR="007B1819" w:rsidRDefault="00C418AF">
            <w:r>
              <w:t>The main outputs of the projects are expected to be:</w:t>
            </w:r>
          </w:p>
          <w:p w:rsidR="00C418AF" w:rsidRDefault="00C418AF" w:rsidP="00C418AF">
            <w:pPr>
              <w:pStyle w:val="Liststycke"/>
              <w:numPr>
                <w:ilvl w:val="0"/>
                <w:numId w:val="3"/>
              </w:numPr>
            </w:pPr>
            <w:r>
              <w:t>Training materials and toolkit</w:t>
            </w:r>
          </w:p>
          <w:p w:rsidR="00C418AF" w:rsidRDefault="00C418AF" w:rsidP="00C418AF">
            <w:pPr>
              <w:pStyle w:val="Liststycke"/>
              <w:numPr>
                <w:ilvl w:val="0"/>
                <w:numId w:val="3"/>
              </w:numPr>
            </w:pPr>
            <w:r>
              <w:t>On-line platform to share resources and good practice</w:t>
            </w:r>
          </w:p>
        </w:tc>
      </w:tr>
      <w:tr w:rsidR="007B1819" w:rsidRPr="007B1819" w:rsidTr="00C418AF">
        <w:tc>
          <w:tcPr>
            <w:tcW w:w="3794" w:type="dxa"/>
          </w:tcPr>
          <w:p w:rsidR="007B1819" w:rsidRPr="003A2904" w:rsidRDefault="007B1819">
            <w:pPr>
              <w:rPr>
                <w:b/>
              </w:rPr>
            </w:pPr>
            <w:r w:rsidRPr="003A2904">
              <w:rPr>
                <w:b/>
              </w:rPr>
              <w:t>Expected results</w:t>
            </w:r>
          </w:p>
        </w:tc>
        <w:tc>
          <w:tcPr>
            <w:tcW w:w="5062" w:type="dxa"/>
          </w:tcPr>
          <w:p w:rsidR="007B1819" w:rsidRDefault="00C418AF" w:rsidP="00C418AF">
            <w:pPr>
              <w:pStyle w:val="Liststycke"/>
              <w:numPr>
                <w:ilvl w:val="0"/>
                <w:numId w:val="3"/>
              </w:numPr>
            </w:pPr>
            <w:r>
              <w:t>Better work readiness of young people through character building approaches</w:t>
            </w:r>
          </w:p>
          <w:p w:rsidR="00C418AF" w:rsidRDefault="00C418AF" w:rsidP="00C418AF">
            <w:pPr>
              <w:pStyle w:val="Liststycke"/>
              <w:numPr>
                <w:ilvl w:val="0"/>
                <w:numId w:val="3"/>
              </w:numPr>
            </w:pPr>
            <w:r>
              <w:t>Raised educational engagement and attainment</w:t>
            </w:r>
          </w:p>
          <w:p w:rsidR="00C418AF" w:rsidRDefault="00C418AF" w:rsidP="00C418AF">
            <w:pPr>
              <w:pStyle w:val="Liststycke"/>
              <w:numPr>
                <w:ilvl w:val="0"/>
                <w:numId w:val="3"/>
              </w:numPr>
            </w:pPr>
            <w:r>
              <w:t>Increased confidence of educators and young people</w:t>
            </w:r>
          </w:p>
        </w:tc>
      </w:tr>
      <w:tr w:rsidR="007B1819" w:rsidRPr="007B1819" w:rsidTr="00C418AF">
        <w:tc>
          <w:tcPr>
            <w:tcW w:w="3794" w:type="dxa"/>
          </w:tcPr>
          <w:p w:rsidR="007B1819" w:rsidRPr="003A2904" w:rsidRDefault="00C418AF">
            <w:pPr>
              <w:rPr>
                <w:b/>
              </w:rPr>
            </w:pPr>
            <w:r>
              <w:rPr>
                <w:b/>
              </w:rPr>
              <w:t>Contact details</w:t>
            </w:r>
          </w:p>
        </w:tc>
        <w:tc>
          <w:tcPr>
            <w:tcW w:w="5062" w:type="dxa"/>
          </w:tcPr>
          <w:p w:rsidR="007B1819" w:rsidRDefault="00C418AF">
            <w:r>
              <w:t>Daniel Garnier</w:t>
            </w:r>
          </w:p>
          <w:p w:rsidR="00C418AF" w:rsidRDefault="00C418AF">
            <w:r>
              <w:t>Economic Development Manager</w:t>
            </w:r>
          </w:p>
          <w:p w:rsidR="00C418AF" w:rsidRDefault="00C418AF">
            <w:r>
              <w:t>Basingstoke and Deane Borough Council</w:t>
            </w:r>
          </w:p>
          <w:p w:rsidR="00C418AF" w:rsidRDefault="00C418AF">
            <w:r>
              <w:lastRenderedPageBreak/>
              <w:t xml:space="preserve">Email: </w:t>
            </w:r>
            <w:hyperlink r:id="rId5" w:history="1">
              <w:r w:rsidRPr="005C7767">
                <w:rPr>
                  <w:rStyle w:val="Hyperlnk"/>
                </w:rPr>
                <w:t>daniel.garnier@basingstoke.gov.uk</w:t>
              </w:r>
            </w:hyperlink>
          </w:p>
          <w:p w:rsidR="00C418AF" w:rsidRDefault="00C418AF">
            <w:r>
              <w:t>Telephone: 00 44 1256 845720</w:t>
            </w:r>
          </w:p>
        </w:tc>
      </w:tr>
    </w:tbl>
    <w:p w:rsidR="007B1819" w:rsidRPr="007B1819" w:rsidRDefault="007B1819"/>
    <w:sectPr w:rsidR="007B1819" w:rsidRPr="007B18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46F"/>
    <w:multiLevelType w:val="hybridMultilevel"/>
    <w:tmpl w:val="63E4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3C7EDD"/>
    <w:multiLevelType w:val="hybridMultilevel"/>
    <w:tmpl w:val="ED186248"/>
    <w:lvl w:ilvl="0" w:tplc="02CA3E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45582"/>
    <w:multiLevelType w:val="hybridMultilevel"/>
    <w:tmpl w:val="444C765C"/>
    <w:lvl w:ilvl="0" w:tplc="4BF6A21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9E6069"/>
    <w:multiLevelType w:val="hybridMultilevel"/>
    <w:tmpl w:val="DF92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8A4E4D"/>
    <w:multiLevelType w:val="hybridMultilevel"/>
    <w:tmpl w:val="AB7C5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F811C1"/>
    <w:multiLevelType w:val="hybridMultilevel"/>
    <w:tmpl w:val="35821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19"/>
    <w:rsid w:val="00007E4C"/>
    <w:rsid w:val="000944B9"/>
    <w:rsid w:val="00101ED9"/>
    <w:rsid w:val="00146F2E"/>
    <w:rsid w:val="00163853"/>
    <w:rsid w:val="001905DD"/>
    <w:rsid w:val="001B6B64"/>
    <w:rsid w:val="00202FF6"/>
    <w:rsid w:val="00261D89"/>
    <w:rsid w:val="002C29BE"/>
    <w:rsid w:val="002E5032"/>
    <w:rsid w:val="002E76B2"/>
    <w:rsid w:val="00345941"/>
    <w:rsid w:val="003624B5"/>
    <w:rsid w:val="003A2904"/>
    <w:rsid w:val="003F44B2"/>
    <w:rsid w:val="00446C25"/>
    <w:rsid w:val="0046601A"/>
    <w:rsid w:val="004E2D99"/>
    <w:rsid w:val="005950F9"/>
    <w:rsid w:val="005C589F"/>
    <w:rsid w:val="005C7451"/>
    <w:rsid w:val="00606889"/>
    <w:rsid w:val="00606DFA"/>
    <w:rsid w:val="00664125"/>
    <w:rsid w:val="00676FE1"/>
    <w:rsid w:val="006D713B"/>
    <w:rsid w:val="00721A5F"/>
    <w:rsid w:val="00735785"/>
    <w:rsid w:val="00787A05"/>
    <w:rsid w:val="00794475"/>
    <w:rsid w:val="007B1819"/>
    <w:rsid w:val="007D0D25"/>
    <w:rsid w:val="00860090"/>
    <w:rsid w:val="009A0BFA"/>
    <w:rsid w:val="00A3241A"/>
    <w:rsid w:val="00A44274"/>
    <w:rsid w:val="00A47E66"/>
    <w:rsid w:val="00A85443"/>
    <w:rsid w:val="00AF3569"/>
    <w:rsid w:val="00B06C6C"/>
    <w:rsid w:val="00B125AB"/>
    <w:rsid w:val="00B844DA"/>
    <w:rsid w:val="00BA265E"/>
    <w:rsid w:val="00BE217F"/>
    <w:rsid w:val="00C34AA9"/>
    <w:rsid w:val="00C3767C"/>
    <w:rsid w:val="00C418AF"/>
    <w:rsid w:val="00C560BB"/>
    <w:rsid w:val="00C63263"/>
    <w:rsid w:val="00C760F0"/>
    <w:rsid w:val="00D40E90"/>
    <w:rsid w:val="00D4215F"/>
    <w:rsid w:val="00D65632"/>
    <w:rsid w:val="00D96F51"/>
    <w:rsid w:val="00E02E22"/>
    <w:rsid w:val="00E60E72"/>
    <w:rsid w:val="00EB0573"/>
    <w:rsid w:val="00EC1E7B"/>
    <w:rsid w:val="00F15CF8"/>
    <w:rsid w:val="00F56AB1"/>
    <w:rsid w:val="00F81F2B"/>
    <w:rsid w:val="00FA6EBF"/>
    <w:rsid w:val="00FF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5318C-765B-4A6D-A038-5AE0437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B1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C29BE"/>
    <w:pPr>
      <w:ind w:left="720"/>
      <w:contextualSpacing/>
    </w:pPr>
  </w:style>
  <w:style w:type="character" w:styleId="Hyperlnk">
    <w:name w:val="Hyperlink"/>
    <w:basedOn w:val="Standardstycketeckensnitt"/>
    <w:rsid w:val="00C418AF"/>
    <w:rPr>
      <w:color w:val="0000FF" w:themeColor="hyperlink"/>
      <w:u w:val="single"/>
    </w:rPr>
  </w:style>
  <w:style w:type="paragraph" w:styleId="Ballongtext">
    <w:name w:val="Balloon Text"/>
    <w:basedOn w:val="Normal"/>
    <w:link w:val="BallongtextChar"/>
    <w:rsid w:val="00C418AF"/>
    <w:rPr>
      <w:rFonts w:ascii="Tahoma" w:hAnsi="Tahoma" w:cs="Tahoma"/>
      <w:sz w:val="16"/>
      <w:szCs w:val="16"/>
    </w:rPr>
  </w:style>
  <w:style w:type="character" w:customStyle="1" w:styleId="BallongtextChar">
    <w:name w:val="Ballongtext Char"/>
    <w:basedOn w:val="Standardstycketeckensnitt"/>
    <w:link w:val="Ballongtext"/>
    <w:rsid w:val="00C418AF"/>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garnier@basingstok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3260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Basingstoke &amp; Deane Borough Council</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Garnier</dc:creator>
  <cp:lastModifiedBy>Melissa Frodin</cp:lastModifiedBy>
  <cp:revision>2</cp:revision>
  <cp:lastPrinted>2015-02-10T22:51:00Z</cp:lastPrinted>
  <dcterms:created xsi:type="dcterms:W3CDTF">2015-02-18T13:24:00Z</dcterms:created>
  <dcterms:modified xsi:type="dcterms:W3CDTF">2015-02-18T13:24:00Z</dcterms:modified>
</cp:coreProperties>
</file>